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DFD8" w14:textId="77777777" w:rsidR="007C0207" w:rsidRPr="00185B29" w:rsidRDefault="007C0207" w:rsidP="007C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 Semibold" w:hAnsi="Source Sans Pro Semibold"/>
          <w:b/>
          <w:bCs/>
          <w:sz w:val="32"/>
          <w:szCs w:val="32"/>
        </w:rPr>
      </w:pPr>
      <w:r w:rsidRPr="00185B29">
        <w:rPr>
          <w:rFonts w:ascii="Source Sans Pro Semibold" w:hAnsi="Source Sans Pro Semibold"/>
          <w:b/>
          <w:bCs/>
          <w:sz w:val="32"/>
          <w:szCs w:val="32"/>
        </w:rPr>
        <w:t>TWELVE TYPES OF UNDERSTANDING QUESTIONS</w:t>
      </w:r>
    </w:p>
    <w:p w14:paraId="58046B1D" w14:textId="77777777" w:rsidR="007C0207" w:rsidRDefault="007C0207" w:rsidP="007C0207">
      <w:pPr>
        <w:rPr>
          <w:rFonts w:ascii="Source Sans Pro Light" w:hAnsi="Source Sans Pro Light"/>
        </w:rPr>
      </w:pPr>
    </w:p>
    <w:p w14:paraId="3C8E1BDD" w14:textId="77777777" w:rsidR="007C0207" w:rsidRPr="0033553A" w:rsidRDefault="007C0207" w:rsidP="007C0207">
      <w:pPr>
        <w:jc w:val="center"/>
        <w:rPr>
          <w:rFonts w:ascii="Source Sans Pro Light" w:hAnsi="Source Sans Pro Light"/>
          <w:i/>
          <w:iCs/>
          <w:sz w:val="18"/>
          <w:szCs w:val="18"/>
        </w:rPr>
      </w:pPr>
      <w:r w:rsidRPr="0062192A">
        <w:rPr>
          <w:rFonts w:ascii="Source Sans Pro Light" w:hAnsi="Source Sans Pro Light"/>
          <w:i/>
          <w:iCs/>
          <w:sz w:val="18"/>
          <w:szCs w:val="18"/>
        </w:rPr>
        <w:t>Taken from “Living Proof”, Jim Petersen, NavPress, 1989, p. 251</w:t>
      </w:r>
    </w:p>
    <w:p w14:paraId="32CFCF71" w14:textId="77777777" w:rsidR="007C0207" w:rsidRPr="00E507D7" w:rsidRDefault="007C0207" w:rsidP="007C0207">
      <w:pPr>
        <w:rPr>
          <w:rFonts w:ascii="Source Sans Pro Light" w:hAnsi="Source Sans Pro Light"/>
        </w:rPr>
      </w:pPr>
    </w:p>
    <w:p w14:paraId="6955F9F1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>Synonyms:</w:t>
      </w:r>
      <w:r w:rsidRPr="00E507D7">
        <w:rPr>
          <w:rFonts w:ascii="Source Sans Pro Light" w:hAnsi="Source Sans Pro Light"/>
        </w:rPr>
        <w:t xml:space="preserve"> “What are some words or phrases that mean the same thing as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>?”</w:t>
      </w:r>
      <w:r w:rsidRPr="00E507D7">
        <w:rPr>
          <w:rFonts w:ascii="Source Sans Pro Light" w:eastAsia="MingLiU" w:hAnsi="Source Sans Pro Light" w:cs="MingLiU"/>
        </w:rPr>
        <w:br/>
      </w:r>
    </w:p>
    <w:p w14:paraId="22626EDD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>Definitions: “</w:t>
      </w:r>
      <w:r w:rsidRPr="00E507D7">
        <w:rPr>
          <w:rFonts w:ascii="Source Sans Pro Light" w:hAnsi="Source Sans Pro Light"/>
        </w:rPr>
        <w:t xml:space="preserve">How would you define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>?”</w:t>
      </w:r>
      <w:r w:rsidRPr="00E507D7">
        <w:rPr>
          <w:rFonts w:ascii="Source Sans Pro Light" w:eastAsia="MingLiU" w:hAnsi="Source Sans Pro Light" w:cs="MingLiU"/>
        </w:rPr>
        <w:br/>
      </w:r>
    </w:p>
    <w:p w14:paraId="3543E5BC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>Differences: “</w:t>
      </w:r>
      <w:r w:rsidRPr="00E507D7">
        <w:rPr>
          <w:rFonts w:ascii="Source Sans Pro Light" w:hAnsi="Source Sans Pro Light"/>
        </w:rPr>
        <w:t xml:space="preserve">What do you think is the difference between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>
        <w:rPr>
          <w:rStyle w:val="Basket-CaseNormal"/>
          <w:rFonts w:ascii="Source Sans Pro Light" w:hAnsi="Source Sans Pro Light" w:cs="Times New Roman"/>
        </w:rPr>
        <w:t xml:space="preserve"> </w:t>
      </w:r>
      <w:r w:rsidRPr="00E507D7">
        <w:rPr>
          <w:rFonts w:ascii="Source Sans Pro Light" w:hAnsi="Source Sans Pro Light"/>
        </w:rPr>
        <w:t xml:space="preserve">and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>
        <w:rPr>
          <w:rStyle w:val="Basket-CaseNormal"/>
          <w:rFonts w:ascii="Source Sans Pro Light" w:hAnsi="Source Sans Pro Light" w:cs="Times New Roman"/>
        </w:rPr>
        <w:t>?</w:t>
      </w:r>
      <w:r w:rsidRPr="00E507D7">
        <w:rPr>
          <w:rFonts w:ascii="Source Sans Pro Light" w:hAnsi="Source Sans Pro Light"/>
        </w:rPr>
        <w:t>”</w:t>
      </w:r>
      <w:r w:rsidRPr="00E507D7">
        <w:rPr>
          <w:rFonts w:ascii="Source Sans Pro Light" w:eastAsia="MingLiU" w:hAnsi="Source Sans Pro Light" w:cs="MingLiU"/>
        </w:rPr>
        <w:br/>
      </w:r>
    </w:p>
    <w:p w14:paraId="08D121C9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>Similarities:</w:t>
      </w:r>
      <w:r w:rsidRPr="00E507D7">
        <w:rPr>
          <w:rFonts w:ascii="Source Sans Pro Light" w:hAnsi="Source Sans Pro Light"/>
        </w:rPr>
        <w:t xml:space="preserve"> “In what ways would you say that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 xml:space="preserve"> and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 xml:space="preserve"> are alike?”</w:t>
      </w:r>
      <w:r w:rsidRPr="00E507D7">
        <w:rPr>
          <w:rFonts w:ascii="Source Sans Pro Light" w:eastAsia="MingLiU" w:hAnsi="Source Sans Pro Light" w:cs="MingLiU"/>
        </w:rPr>
        <w:br/>
      </w:r>
    </w:p>
    <w:p w14:paraId="5A09D03E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>Opposites:</w:t>
      </w:r>
      <w:r w:rsidRPr="00E507D7">
        <w:rPr>
          <w:rFonts w:ascii="Source Sans Pro Light" w:hAnsi="Source Sans Pro Light"/>
        </w:rPr>
        <w:t xml:space="preserve"> “What do you think is the opposite of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>?”</w:t>
      </w:r>
      <w:r w:rsidRPr="00E507D7">
        <w:rPr>
          <w:rFonts w:ascii="Source Sans Pro Light" w:eastAsia="MingLiU" w:hAnsi="Source Sans Pro Light" w:cs="MingLiU"/>
        </w:rPr>
        <w:br/>
      </w:r>
    </w:p>
    <w:p w14:paraId="4586CB84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 xml:space="preserve">Relationships: </w:t>
      </w:r>
      <w:r w:rsidRPr="00E507D7">
        <w:rPr>
          <w:rFonts w:ascii="Source Sans Pro Light" w:hAnsi="Source Sans Pro Light"/>
        </w:rPr>
        <w:t xml:space="preserve">“What do you think is the relationship between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 xml:space="preserve"> and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>?”</w:t>
      </w:r>
      <w:r w:rsidRPr="00E507D7">
        <w:rPr>
          <w:rFonts w:ascii="Source Sans Pro Light" w:eastAsia="MingLiU" w:hAnsi="Source Sans Pro Light" w:cs="MingLiU"/>
        </w:rPr>
        <w:br/>
      </w:r>
    </w:p>
    <w:p w14:paraId="5F3A5D7E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>Examples:</w:t>
      </w:r>
      <w:r w:rsidRPr="00E507D7">
        <w:rPr>
          <w:rFonts w:ascii="Source Sans Pro Light" w:hAnsi="Source Sans Pro Light"/>
        </w:rPr>
        <w:t xml:space="preserve"> “What are some examples of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>?”</w:t>
      </w:r>
      <w:r w:rsidRPr="00E507D7">
        <w:rPr>
          <w:rFonts w:ascii="Source Sans Pro Light" w:eastAsia="MingLiU" w:hAnsi="Source Sans Pro Light" w:cs="MingLiU"/>
        </w:rPr>
        <w:br/>
      </w:r>
    </w:p>
    <w:p w14:paraId="5D21A31B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>Why:</w:t>
      </w:r>
      <w:r>
        <w:rPr>
          <w:rFonts w:ascii="Source Sans Pro Light" w:hAnsi="Source Sans Pro Light"/>
        </w:rPr>
        <w:t xml:space="preserve"> “W</w:t>
      </w:r>
      <w:r w:rsidRPr="00E507D7">
        <w:rPr>
          <w:rFonts w:ascii="Source Sans Pro Light" w:hAnsi="Source Sans Pro Light"/>
        </w:rPr>
        <w:t xml:space="preserve">hy does this verse say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 xml:space="preserve"> when several other passages emphasize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>?”</w:t>
      </w:r>
      <w:r w:rsidRPr="00E507D7">
        <w:rPr>
          <w:rFonts w:ascii="Source Sans Pro Light" w:eastAsia="MingLiU" w:hAnsi="Source Sans Pro Light" w:cs="MingLiU"/>
        </w:rPr>
        <w:br/>
      </w:r>
    </w:p>
    <w:p w14:paraId="6E7B3812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 xml:space="preserve">Explain: </w:t>
      </w:r>
      <w:r w:rsidRPr="00E507D7">
        <w:rPr>
          <w:rFonts w:ascii="Source Sans Pro Light" w:hAnsi="Source Sans Pro Light"/>
        </w:rPr>
        <w:t xml:space="preserve">“How would you explain verse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 xml:space="preserve">? How would you explain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>’s change of attitude?”</w:t>
      </w:r>
      <w:r w:rsidRPr="00E507D7">
        <w:rPr>
          <w:rFonts w:ascii="Source Sans Pro Light" w:eastAsia="MingLiU" w:hAnsi="Source Sans Pro Light" w:cs="MingLiU"/>
        </w:rPr>
        <w:br/>
      </w:r>
    </w:p>
    <w:p w14:paraId="0822EEA6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 xml:space="preserve">Extremes: </w:t>
      </w:r>
      <w:r w:rsidRPr="00E507D7">
        <w:rPr>
          <w:rFonts w:ascii="Source Sans Pro Light" w:hAnsi="Source Sans Pro Light"/>
        </w:rPr>
        <w:t xml:space="preserve">“Which one of these do you feel is the most (or the least)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>?”</w:t>
      </w:r>
      <w:r w:rsidRPr="00E507D7">
        <w:rPr>
          <w:rFonts w:ascii="Source Sans Pro Light" w:eastAsia="MingLiU" w:hAnsi="Source Sans Pro Light" w:cs="MingLiU"/>
        </w:rPr>
        <w:br/>
      </w:r>
    </w:p>
    <w:p w14:paraId="3F29FD31" w14:textId="77777777" w:rsidR="007C0207" w:rsidRPr="00E507D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 xml:space="preserve">Quantity / </w:t>
      </w:r>
      <w:r>
        <w:rPr>
          <w:rFonts w:ascii="Source Sans Pro Semibold" w:hAnsi="Source Sans Pro Semibold"/>
          <w:b/>
          <w:bCs/>
        </w:rPr>
        <w:t>Q</w:t>
      </w:r>
      <w:r w:rsidRPr="00EA0F2D">
        <w:rPr>
          <w:rFonts w:ascii="Source Sans Pro Semibold" w:hAnsi="Source Sans Pro Semibold"/>
          <w:b/>
          <w:bCs/>
        </w:rPr>
        <w:t>uality:</w:t>
      </w:r>
      <w:r w:rsidRPr="00E507D7">
        <w:rPr>
          <w:rFonts w:ascii="Source Sans Pro Light" w:hAnsi="Source Sans Pro Light"/>
        </w:rPr>
        <w:t xml:space="preserve"> “How significant do you think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 xml:space="preserve"> really is?”</w:t>
      </w:r>
      <w:r w:rsidRPr="00E507D7">
        <w:rPr>
          <w:rFonts w:ascii="Source Sans Pro Light" w:eastAsia="MingLiU" w:hAnsi="Source Sans Pro Light" w:cs="MingLiU"/>
        </w:rPr>
        <w:br/>
      </w:r>
    </w:p>
    <w:p w14:paraId="48E3250E" w14:textId="77777777" w:rsidR="007C0207" w:rsidRDefault="007C0207" w:rsidP="007C0207">
      <w:pPr>
        <w:pStyle w:val="Listenabsatz"/>
        <w:numPr>
          <w:ilvl w:val="0"/>
          <w:numId w:val="6"/>
        </w:numPr>
        <w:ind w:left="993"/>
        <w:rPr>
          <w:rFonts w:ascii="Source Sans Pro Light" w:hAnsi="Source Sans Pro Light"/>
        </w:rPr>
      </w:pPr>
      <w:r w:rsidRPr="00EA0F2D">
        <w:rPr>
          <w:rFonts w:ascii="Source Sans Pro Semibold" w:hAnsi="Source Sans Pro Semibold"/>
          <w:b/>
          <w:bCs/>
        </w:rPr>
        <w:t xml:space="preserve">How: </w:t>
      </w:r>
      <w:r w:rsidRPr="00E507D7">
        <w:rPr>
          <w:rFonts w:ascii="Source Sans Pro Light" w:hAnsi="Source Sans Pro Light"/>
        </w:rPr>
        <w:t xml:space="preserve">“How is </w:t>
      </w:r>
      <w:r w:rsidRPr="00656ED0">
        <w:rPr>
          <w:rStyle w:val="Basket-CaseNormal"/>
          <w:rFonts w:ascii="Source Sans Pro Light" w:hAnsi="Source Sans Pro Light" w:cs="Times New Roman"/>
        </w:rPr>
        <w:t>______</w:t>
      </w:r>
      <w:r w:rsidRPr="00E507D7">
        <w:rPr>
          <w:rFonts w:ascii="Source Sans Pro Light" w:hAnsi="Source Sans Pro Light"/>
        </w:rPr>
        <w:t xml:space="preserve"> of any value today?”</w:t>
      </w:r>
    </w:p>
    <w:p w14:paraId="46FE7682" w14:textId="77777777" w:rsidR="000C4AFA" w:rsidRPr="007C0207" w:rsidRDefault="000C4AFA" w:rsidP="007C0207"/>
    <w:sectPr w:rsidR="000C4AFA" w:rsidRPr="007C0207" w:rsidSect="0009165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ource Sans Pro Semibold">
    <w:panose1 w:val="020B0603030403020204"/>
    <w:charset w:val="4D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4D"/>
    <w:family w:val="swiss"/>
    <w:pitch w:val="variable"/>
    <w:sig w:usb0="20000007" w:usb1="00000001" w:usb2="00000000" w:usb3="00000000" w:csb0="000001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80A"/>
    <w:multiLevelType w:val="hybridMultilevel"/>
    <w:tmpl w:val="2B60489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5C307C"/>
    <w:multiLevelType w:val="hybridMultilevel"/>
    <w:tmpl w:val="A7CCDC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4C442A"/>
    <w:multiLevelType w:val="hybridMultilevel"/>
    <w:tmpl w:val="1AA6D0D2"/>
    <w:lvl w:ilvl="0" w:tplc="6B9E23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F2D"/>
    <w:multiLevelType w:val="hybridMultilevel"/>
    <w:tmpl w:val="B022BA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06410"/>
    <w:multiLevelType w:val="hybridMultilevel"/>
    <w:tmpl w:val="4EBCFE68"/>
    <w:lvl w:ilvl="0" w:tplc="0407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878B7"/>
    <w:multiLevelType w:val="hybridMultilevel"/>
    <w:tmpl w:val="94760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51"/>
    <w:rsid w:val="00091651"/>
    <w:rsid w:val="000C4AFA"/>
    <w:rsid w:val="004E6B15"/>
    <w:rsid w:val="004F3FBD"/>
    <w:rsid w:val="007C0207"/>
    <w:rsid w:val="00B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95AF6"/>
  <w15:chartTrackingRefBased/>
  <w15:docId w15:val="{AD02679B-0647-6042-906D-C8E01600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207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165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9165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sket-CaseNormal">
    <w:name w:val="Basket-Case Normal"/>
    <w:rsid w:val="00091651"/>
    <w:rPr>
      <w:rFonts w:ascii="Baskerville" w:hAnsi="Baskerville"/>
      <w:color w:val="auto"/>
      <w:sz w:val="24"/>
      <w:u w:val="none"/>
    </w:rPr>
  </w:style>
  <w:style w:type="character" w:customStyle="1" w:styleId="Basket-CaseSubhead">
    <w:name w:val="Basket-Case Subhead"/>
    <w:rsid w:val="00091651"/>
    <w:rPr>
      <w:rFonts w:ascii="Baskerville" w:hAnsi="Baskerville"/>
      <w:i/>
      <w:color w:val="auto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 Diether</dc:creator>
  <cp:keywords/>
  <dc:description/>
  <cp:lastModifiedBy>Jael Diether</cp:lastModifiedBy>
  <cp:revision>3</cp:revision>
  <dcterms:created xsi:type="dcterms:W3CDTF">2022-03-14T18:54:00Z</dcterms:created>
  <dcterms:modified xsi:type="dcterms:W3CDTF">2022-03-14T18:54:00Z</dcterms:modified>
</cp:coreProperties>
</file>